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注意事项</w:t>
      </w:r>
    </w:p>
    <w:p>
      <w:pPr>
        <w:pStyle w:val="Heading2"/>
      </w:pPr>
      <w:r>
        <w:t>功能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web端播放功能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VRM13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VRM12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VRM11及以下（普通加密）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❌（仅pc支持，移动不支持）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❌（仅pc支持，移动不支持）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iOS、Android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系统小窗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兼容性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C++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❌（仅webview支持）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❌（仅webview支持）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</w:tbl>
    <w:p>
      <w:pPr>
        <w:spacing w:after="40"/>
      </w:pPr>
    </w:p>
    <w:p>
      <w:pPr>
        <w:pStyle w:val="Heading2"/>
      </w:pPr>
      <w:r>
        <w:t>体验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VRM13/12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vrm11以下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只能网页全屏、不能系统全屏，顶栏无法消失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支持系统全屏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动态水印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动态水印无法修改大小，样式，亮度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不支持动态水印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花屏、绿屏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①浏览器版本过低，无法渲染出画面；②强制开启硬解，导致解码不兼容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均无影响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秒播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底层技术影响，会有1~2秒加载时长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支持秒播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底层技术影响，对网络设备有一定要求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支持流畅播放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黑边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底层技术影响，全屏时，无法铺满屏幕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支持全屏铺满无黑边</w:t>
            </w:r>
          </w:p>
        </w:tc>
      </w:tr>
    </w:tbl>
    <w:p>
      <w:pPr>
        <w:spacing w:after="40"/>
      </w:pPr>
    </w:p>
    <w:p>
      <w:pPr>
        <w:pStyle w:val="Heading2"/>
      </w:pPr>
      <w:r>
        <w:t>特别注意事项：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私有加密VRM13目前仅支持到15FPS，帧率过高会采取丢帧策略来保证播放器稳定性，如电影、游戏类等高码率高帧率视频，不建议使用该播放器。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注意事项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