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10分钟玩转一场点播</w:t>
      </w:r>
    </w:p>
    <w:p>
      <w:pPr>
        <w:pStyle w:val="Heading1"/>
      </w:pPr>
      <w:r>
        <w:t>目标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&amp;emsp;&amp;emsp;本文档将在10分钟内快速完成一个视频点播的完整业务流程，前提是已经完成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系统的初始化过程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点播业务介绍</w:t>
      </w:r>
    </w:p>
    <w:p>
      <w:pPr>
        <w:pStyle w:val="Heading1"/>
      </w:pPr>
      <w:r>
        <w:t>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此场景适合于通用的点播视频发布流程，包括视频上传，视频管理，发布观看，获取日志四个环节。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1014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bdcb5e821728e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1014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视频上传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视频管理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发布管理-通过微信观看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发布管理-通过内嵌播放器HTML代码观看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src='//player.polyv.net/script/player.js'&gt;&lt;/script&gt;</w:t>
        <w:br/>
        <w:t>&lt;div id='plv_88083abbf5d3d0d1bb3d7f04e231b8d8_8'&gt;&lt;/div&gt;&lt;!-- “plv_”之后为视频id--&gt;</w:t>
        <w:br/>
        <w:t>&lt;script&gt;</w:t>
        <w:br/>
        <w:t>var player = polyvPlayer({</w:t>
        <w:br/>
        <w:t xml:space="preserve">  'wrap':'#plv_88083abbf5d3d0d1bb3d7f04e231b8d8_8', // ”#plv_“之后为视频id</w:t>
        <w:br/>
        <w:t xml:space="preserve">  'width':'600',</w:t>
        <w:br/>
        <w:t xml:space="preserve">  'height':'338',</w:t>
        <w:br/>
        <w:t xml:space="preserve">  'vid': '88083abbf5d3d0d1bb3d7f04e231b8d8_8', // 视频id</w:t>
        <w:br/>
        <w:t xml:space="preserve">  'playsafe': '' // 播放加密视频的凭证, 取值参考文档: https://help.polyv.net/index.html#/vod/api/playsafe/token/create_token</w:t>
        <w:br/>
        <w:t>});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视频id为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视频上传接口</w:t>
      </w:r>
      <w:r>
        <w:rPr>
          <w:rFonts w:ascii="Source Han Sans SC" w:hAnsi="Source Han Sans SC" w:eastAsia="Source Han Sans SC" w:cs="Source Han Sans SC" w:hint="eastAsia"/>
          <w:sz w:val="21"/>
        </w:rPr>
        <w:t>返回的视频id，将此html代码片段置入用户网站html文件中即可播放视频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获取日志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10分钟玩转一场点播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