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修改授权播放和防录屏跑马灯接口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1、修改授权播放和防录屏跑马灯接口设置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http://api.polyv.net/vod/v4/user/setting/marquee/update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授权播放和防录屏跑马灯url，不传则清空设置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https://api.polyv.net/vod/v4/user/setting/marquee/update?appId=frlr1zazn3&amp;timestamp=1669907987000&amp;sign=B069F28B9D21182D3E235E220F9E1F92&amp;marqueeUrl=https://my.polyv.net/test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修改授权播放和防录屏跑马灯接口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updateMarqueeTest()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"http://api.polyv.net/vod/v4/user/setting/marquee/update";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requestMap.put("marqueeUrl", "https://my.polyv.net/testmarqueeurl");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HttpUtil.postFormBody(url, null);</w:t>
        <w:br/>
        <w:t xml:space="preserve">    log.info("测试修改授权播放和防录屏跑马灯接口：{}",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"5399ad2d29ab48c88165d8ffa4f0b4a4.69.16699079874310089",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修改授权播放和防录屏跑马灯接口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