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10 设置学员唯一标识的意义</w:t>
      </w:r>
    </w:p>
    <w:p>
      <w:pPr>
        <w:pStyle w:val="Heading2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学员唯一标识 = viewerId = 观众id = 学员Id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学员唯一标识，viewerId，观众id，学员Id在文档和程序中表达的意思一致，正在逐渐统一名称。</w:t>
      </w:r>
    </w:p>
    <w:p>
      <w:pPr>
        <w:pStyle w:val="Heading2"/>
      </w:pPr>
      <w:r>
        <w:t>意义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设置学员唯一标识，有以下这些优点：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__有效定位学员反馈遇到的问题__。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__大大减少与学员的沟通成本__。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__有效提高SDK这边单方面排查问题的效率。__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__可以归总某个学员唯一标识的错误日志__。</w:t>
      </w:r>
    </w:p>
    <w:p>
      <w:pPr>
        <w:pStyle w:val="Heading2"/>
      </w:pPr>
      <w:r>
        <w:t>方法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/**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设置观众id，默认为空字符串{@code ""}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参数会用于两个地方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第一会作为请求播放授权token时的参数-观众id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第二会作为观看日志的自定义ID，可以用于传递观众id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@param viewerId 观众id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*/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public void setViewerId(String viewerId)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设置学员唯一标识的意义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