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调用限制</w:t>
      </w:r>
    </w:p>
    <w:p>
      <w:pPr>
        <w:pStyle w:val="Heading1"/>
      </w:pPr>
      <w:r>
        <w:t>调用频次限制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&amp;emsp;&amp;emsp;为了保证保利威服务可用性和安全性，防止保利威服务器受到恶意攻击，保利威服务端对调用频率做了限制，保利威API接口整个域名api.polyv.net都对单个ip有：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在10秒钟内不能超过500次请求的限制</w:t>
      </w:r>
      <w:r>
        <w:rPr>
          <w:rFonts w:ascii="Source Han Sans SC" w:hAnsi="Source Han Sans SC" w:eastAsia="Source Han Sans SC" w:cs="Source Han Sans SC" w:hint="eastAsia"/>
          <w:sz w:val="21"/>
        </w:rPr>
        <w:t>。如超出限制请求频率的访问会被阻断5分钟。B端在API接口集成调用时，避免在限制条件内，频繁调用API接口，从而影响正常服务。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&amp;emsp;&amp;emsp;强烈建议B端使用如下集成策略：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456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f97be10818070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45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&amp;emsp;&amp;emsp;所有请求都通过B端的服务器端转发到保利威服务器，而不能直接通过B端客户端访问保利威服务器，B端的服务器端应该集成Redis 、 Memcache 等缓存框架，请求结果应尽量从缓存中获取，降低调用频次，对于调用频率的统计逻辑也可以封装到Redis缓存框架中，便于业务逻辑处理；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调用限制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