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全局错误说明</w:t>
      </w:r>
    </w:p>
    <w:p>
      <w:pPr>
        <w:pStyle w:val="Heading1"/>
      </w:pPr>
      <w:r>
        <w:t>返回信息示例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请求API正确返回：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请求API字段校验错误返回：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"data": "",</w:t>
        <w:br/>
        <w:t xml:space="preserve">    "error":{"code":'错误码|int类型',"desc":"错误描述"}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请求API业务逻辑处理错误返回：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500,</w:t>
        <w:br/>
        <w:t xml:space="preserve">    "status": "fail",</w:t>
        <w:br/>
        <w:t xml:space="preserve">    "data": "",</w:t>
        <w:br/>
        <w:t xml:space="preserve">    "error":{"code":'错误码|int类型',"desc":"错误描述"}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各字段含义：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响应状态码，具体对应关系如下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响应描述信息，当code为400或者500的时候，辅助描述错误原因，具体参考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错误信息对照表</w:t>
            </w:r>
          </w:p>
        </w:tc>
      </w:tr>
    </w:tbl>
    <w:p>
      <w:pPr>
        <w:spacing w:after="40"/>
      </w:pPr>
    </w:p>
    <w:p>
      <w:pPr>
        <w:pStyle w:val="Heading1"/>
      </w:pPr>
      <w:r>
        <w:t>错误码描述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description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:------------------------------: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:-------------------------------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表示业务处理成功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40X(X为任意数字)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对应HTTP 40X 状态码，一般为客户端错误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50X(X为任意数字)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对应HTTP 50X 状态码，一般为服务端错误</w:t>
            </w:r>
          </w:p>
        </w:tc>
      </w:tr>
    </w:tbl>
    <w:p>
      <w:pPr>
        <w:spacing w:after="40"/>
      </w:pPr>
    </w:p>
    <w:p>
      <w:pPr>
        <w:pStyle w:val="Heading1"/>
      </w:pPr>
      <w:r>
        <w:t>详细信息解释对照表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错误码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通用错误码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全局通用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参数错误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appId不能为空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1002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时间戳不能为空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1003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签名不能为空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1004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appId无效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1005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1006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1007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未登录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1008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请求方法错误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1009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1010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系统异常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业务错误码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具体业务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讲师不存在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全局错误说明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