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与传统教育博弈，在线教育需要新的手段</w:t>
      </w:r>
    </w:p>
    <w:p>
      <w:pPr>
        <w:spacing w:after="160"/>
        <w:jc w:val="center"/>
      </w:pPr>
      <w:r>
        <w:drawing>
          <wp:inline xmlns:a="http://schemas.openxmlformats.org/drawingml/2006/main" xmlns:pic="http://schemas.openxmlformats.org/drawingml/2006/picture">
            <wp:extent cx="4892040" cy="3052632"/>
            <wp:docPr id="1" name="Picture 1"/>
            <wp:cNvGraphicFramePr>
              <a:graphicFrameLocks noChangeAspect="1"/>
            </wp:cNvGraphicFramePr>
            <a:graphic>
              <a:graphicData uri="http://schemas.openxmlformats.org/drawingml/2006/picture">
                <pic:pic>
                  <pic:nvPicPr>
                    <pic:cNvPr id="0" name="e6c06a5ca6e4863f-docx.jpg"/>
                    <pic:cNvPicPr/>
                  </pic:nvPicPr>
                  <pic:blipFill>
                    <a:blip r:embed="rId10"/>
                    <a:stretch>
                      <a:fillRect/>
                    </a:stretch>
                  </pic:blipFill>
                  <pic:spPr>
                    <a:xfrm>
                      <a:off x="0" y="0"/>
                      <a:ext cx="4892040" cy="3052632"/>
                    </a:xfrm>
                    <a:prstGeom prst="rect"/>
                  </pic:spPr>
                </pic:pic>
              </a:graphicData>
            </a:graphic>
          </wp:inline>
        </w:drawing>
      </w:r>
    </w:p>
    <w:p>
      <w:r>
        <w:rPr>
          <w:rFonts w:ascii="Source Han Sans SC" w:hAnsi="Source Han Sans SC" w:eastAsia="Source Han Sans SC" w:cs="Source Han Sans SC" w:hint="eastAsia"/>
          <w:sz w:val="21"/>
        </w:rPr>
        <w:t>艾瑞网《2014年中国在线行业发展报告》中指出，我国在线教育商业模式仍处于探索阶段，2013年中国在线教育用户规模达到6720万人，预计2016年中国在线教育用户规模破亿。</w:t>
      </w:r>
    </w:p>
    <w:p>
      <w:r>
        <w:rPr>
          <w:rFonts w:ascii="Source Han Sans SC" w:hAnsi="Source Han Sans SC" w:eastAsia="Source Han Sans SC" w:cs="Source Han Sans SC" w:hint="eastAsia"/>
          <w:sz w:val="21"/>
        </w:rPr>
        <w:t>面对着来势汹汹的在线教育，传统教育行业借助在线教育现有的缺点展开了有力的反击，2013年高等学历在线教育市场占比下滑至50%，面对如此强烈的传统教育的反扑，在线教育应该如何应对？</w:t>
      </w:r>
    </w:p>
    <w:p>
      <w:r>
        <w:rPr>
          <w:rFonts w:ascii="Source Han Sans SC" w:hAnsi="Source Han Sans SC" w:eastAsia="Source Han Sans SC" w:cs="Source Han Sans SC" w:hint="eastAsia"/>
          <w:sz w:val="21"/>
        </w:rPr>
        <w:t>目前国内在线教育面临两个很严重的问题，一个是互动体验，一个是版权问题。</w:t>
      </w:r>
    </w:p>
    <w:p>
      <w:r>
        <w:rPr>
          <w:rFonts w:ascii="Source Han Sans SC" w:hAnsi="Source Han Sans SC" w:eastAsia="Source Han Sans SC" w:cs="Source Han Sans SC" w:hint="eastAsia"/>
          <w:sz w:val="21"/>
        </w:rPr>
        <w:t>国内大多数的在线教育为简简单单的将教学视频提供给在线学员，与传统的教育相比缺少课堂互动与课堂效果反馈。</w:t>
      </w:r>
    </w:p>
    <w:p>
      <w:r>
        <w:rPr>
          <w:rFonts w:ascii="Source Han Sans SC" w:hAnsi="Source Han Sans SC" w:eastAsia="Source Han Sans SC" w:cs="Source Han Sans SC" w:hint="eastAsia"/>
          <w:sz w:val="21"/>
        </w:rPr>
        <w:t>POLYV针对在线教育互动体验差的问题，提出了问答播放器的视频功能，它能够在视频中插入课堂问答播放器，这不但增加了在线学习的课堂互动体验，同时还能够实现即时的在线考试功能，让在线学习者更好的实现线上学习的及时反馈。</w:t>
      </w:r>
    </w:p>
    <w:p>
      <w:r>
        <w:rPr>
          <w:rFonts w:ascii="Source Han Sans SC" w:hAnsi="Source Han Sans SC" w:eastAsia="Source Han Sans SC" w:cs="Source Han Sans SC" w:hint="eastAsia"/>
          <w:sz w:val="21"/>
        </w:rPr>
        <w:t>针对视频版权问题，POLYV为在线视频用户提供了强大的视频防盗功能，POLYV通过自主研发的基于关键帧的视频文件加密技术与OVP视频防盗链技术的结合实现对在线视频文件的完美加密，同时，POLYV通过跑马灯、视频水印及问答播放器等视频功能增加了盗版者的盗版成本及盗版风险，从而更好的保障了在线视频的版权安全。</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与传统教育博弈，在线教育需要新的手段</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