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播放画质设置（多码率）</w:t>
      </w:r>
    </w:p>
    <w:p>
      <w:r>
        <w:rPr>
          <w:rFonts w:ascii="Source Han Sans SC" w:hAnsi="Source Han Sans SC" w:eastAsia="Source Han Sans SC" w:cs="Source Han Sans SC" w:hint="eastAsia"/>
          <w:sz w:val="21"/>
        </w:rPr>
        <w:t>播放画质设置（多码率）：视频上传到系统后，自动压缩成流畅，高清和超清三个版本，但如果您的视频码率无法达到超清或高清，只能压缩成相应码率及以下码率，用户播放视频时，根据网络实际情况自动切换成相应的播放版本，可在播放器中选择码率，如下图:上传视频至云视频平台后，视频被压缩成流畅，高清和超清三个版本，用户播放视频时，根据用户网络实际情况自动切换成相应的播放码率或由用户选择码率。</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播放画质设置（多码率）</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