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CNAME使用介绍</w:t>
      </w:r>
    </w:p>
    <w:p>
      <w:pPr>
        <w:pStyle w:val="Heading2"/>
      </w:pPr>
      <w:r>
        <w:t>关于CNAME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CNAME指别名记录也被称为规范名字，当您拥有多个域名需要指向同一服务器IP，您可以将一个域名做A记录指向服务器IP，然后将其他的域名做别名（即CNAME）到A记录的域名上；那么当您的服务器IP地址变更时，您就可以不必对一个一个域名做更改指向了，只需要更改A记录的那个域名到服务器新IP上，其他做别名（即CNAME）的那些域名的指向将自动更改到新的IP地址上（以上操作均需要在DNS处执行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&amp;emsp;&amp;emsp;以上来源：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百度百科--CNAME</w:t>
      </w:r>
    </w:p>
    <w:p>
      <w:pPr>
        <w:pStyle w:val="Heading2"/>
      </w:pPr>
      <w:r>
        <w:t>使用CNAME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&amp;emsp;&amp;emsp;作用：可以将您的域名指定到Polyv播放域名live-watch.videocc.net，就能使用您的域名去访问Polyv观看页。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注：如果您是自定义微信公众号或者开启了自定义授权功能，此时需要cname的话，请将域名提供给保利威视客服登记！除此之外，则无需登记。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&amp;emsp;&amp;emsp;使用效果：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CNAME使用效果</w:t>
      </w:r>
      <w:r>
        <w:rPr>
          <w:rFonts w:ascii="Source Han Sans SC" w:hAnsi="Source Han Sans SC" w:eastAsia="Source Han Sans SC" w:cs="Source Han Sans SC" w:hint="eastAsia"/>
          <w:sz w:val="21"/>
        </w:rPr>
        <w:t>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使用效果2</w:t>
      </w:r>
    </w:p>
    <w:p>
      <w:pPr>
        <w:pStyle w:val="Heading2"/>
      </w:pPr>
      <w:r>
        <w:t>注意事项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&amp;emsp;&amp;emsp;1. cname到Polyv的域名需要进行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公安网管理平台备案</w:t>
      </w:r>
      <w:r>
        <w:rPr>
          <w:rFonts w:ascii="Source Han Sans SC" w:hAnsi="Source Han Sans SC" w:eastAsia="Source Han Sans SC" w:cs="Source Han Sans SC" w:hint="eastAsia"/>
          <w:sz w:val="21"/>
        </w:rPr>
        <w:t>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ICP备案</w:t>
      </w:r>
      <w:r>
        <w:rPr>
          <w:rFonts w:ascii="Source Han Sans SC" w:hAnsi="Source Han Sans SC" w:eastAsia="Source Han Sans SC" w:cs="Source Han Sans SC" w:hint="eastAsia"/>
          <w:sz w:val="21"/>
        </w:rPr>
        <w:t>以及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阿里云备案</w:t>
      </w:r>
      <w:r>
        <w:rPr>
          <w:rFonts w:ascii="Source Han Sans SC" w:hAnsi="Source Han Sans SC" w:eastAsia="Source Han Sans SC" w:cs="Source Han Sans SC" w:hint="eastAsia"/>
          <w:sz w:val="21"/>
        </w:rPr>
        <w:t>，都得备案好才能cname。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&amp;emsp;&amp;emsp;2. 没有双备案的域名会被封禁，提示以下错误信息。</w:t>
      </w:r>
    </w:p>
    <w:p>
      <w:pPr>
        <w:pStyle w:val="Heading2"/>
      </w:pPr>
      <w:r>
        <w:t>备案相关信息：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&amp;emsp;&amp;emsp;1. 办理流程相对简单，其中有一项需要域名证书，可到域名注册机构获取。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&amp;emsp;&amp;emsp;2. 网络接入服务商和域名注册服务商，根据网站主页所在的服务商信息来填写。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&amp;emsp;&amp;emsp;3. 是否提供互联网交互服务：否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&amp;emsp;&amp;emsp;4. 是否提供涉及管制物品信息发布服务：否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&amp;emsp;&amp;emsp;5. 相关前置许可：否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&amp;emsp;&amp;emsp;6. IP地址：请联系保利威客服和技术支持团队获取。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&amp;emsp;&amp;emsp;7. 网络接入服务商处：请联系保利威客服和技术支持团队获取。</w:t>
      </w:r>
    </w:p>
    <w:p>
      <w:pPr>
        <w:pStyle w:val="Heading2"/>
      </w:pPr>
      <w:r>
        <w:t>使用步骤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&amp;emsp;&amp;emsp;以下使用GoDaddy举例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&amp;emsp;&amp;emsp;1. 登录GoDaddy进入域名管理后台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2689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3ad927ec36bd1b4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268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&amp;emsp;&amp;emsp;2. 点击需要设置域名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0551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89c63e16b6f7623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055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&amp;emsp;&amp;emsp;3. 点击DNS区域文件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6360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2e8c2399ad2ff70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636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&amp;emsp;&amp;emsp;4. 找到CName（别名）字段，点击编辑记录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37746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aa4faac0e704dcb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377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&amp;emsp;&amp;emsp;5. 编辑记录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&amp;emsp;&amp;emsp;&amp;emsp;&amp;emsp;5.1 主机：输入www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&amp;emsp;&amp;emsp;&amp;emsp;&amp;emsp;5.2 指向：输入live-watch.videocc.net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&amp;emsp;&amp;emsp;&amp;emsp;&amp;emsp;5.3 TTL：默认即好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&amp;emsp;&amp;emsp;&amp;emsp;&amp;emsp;5.4 点击完成即可设置完成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193177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cbd0e3b685696fc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193177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CNAME使用介绍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