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不同主体认证的区别</w:t>
      </w:r>
    </w:p>
    <w:p>
      <w:pPr>
        <w:pStyle w:val="Heading3"/>
      </w:pPr>
      <w:r>
        <w:t>根据不同的法律主体，“保利威”实名认证分为企业、个体工商户、党政机关/事业单位及个人实名认证，本文档将对不同主体的实名认证进行介绍。企业、个体工商户、党政机关/事业单位的实名认证流程及所需资料相似，为便于介绍，归为一个类型，以下统称为“企业实名认证”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企业实名认证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个人实名认证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适用对象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企业、个体工商户、党政机关/事业单位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个人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账号归属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企业、个体工商户、党政机关/事业单位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个人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签约主体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企业、个体工商户、党政机关/事业单位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个人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发票信息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可开具企业抬头的增值税专用发票或增值税普通发票。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仅可开具个人抬头的增值税普通发票。如需开具企业抬头的发票，请做企业实名认证。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功能权限的使用区别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模块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企业实名认证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个人实名认证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可使用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不可用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请注意：</w:t>
      </w:r>
    </w:p>
    <w:p>
      <w:pPr>
        <w:pStyle w:val="Heading3"/>
      </w:pPr>
      <w:r>
        <w:t>1、请准确选择企业或个人实名认证，以免影响后续签约及开票。</w:t>
      </w:r>
    </w:p>
    <w:p>
      <w:pPr>
        <w:pStyle w:val="Heading3"/>
      </w:pPr>
      <w:r>
        <w:t>2、请保持实名认证主体与签约主体、发票抬头主体的名称一致，如有特殊情况，请联系您的客户经理或“保利威”官方客服。</w:t>
      </w:r>
    </w:p>
    <w:p>
      <w:pPr>
        <w:pStyle w:val="Heading3"/>
      </w:pPr>
      <w:r>
        <w:t>3、企业实名认证时，您填写的主体名称需与上传证照中的名称保持一致。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不同主体认证的区别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