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计费规则说明</w:t>
      </w:r>
    </w:p>
    <w:p>
      <w:pPr>
        <w:pStyle w:val="Heading1"/>
      </w:pPr>
      <w:r>
        <w:t>一、结算方式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保利威提供多种灵活的结算方式，具体可联系商务经理。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用量结算：将消耗量直接从对应的专项资源包（如：直播观看分钟数、连麦分钟数、点播播放流量）中扣除的方式，扣除用量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金额结算：将 消耗量 x 对应单价 得出消费金额，从账户余额、授信额度中直接扣除的方式，扣除金额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结算时会优先进行用量结算，当账户资源包不足划扣时，超出部分会进行金额结算。 --&gt;</w:t>
      </w:r>
    </w:p>
    <w:p>
      <w:pPr>
        <w:pStyle w:val="Heading1"/>
      </w:pPr>
      <w:r>
        <w:t>二、账单说明</w:t>
      </w:r>
    </w:p>
    <w:p>
      <w:pPr>
        <w:pStyle w:val="Heading2"/>
      </w:pPr>
      <w:r>
        <w:t>账单用途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账单概览：以月为单位总览账号使用情况，可查看各计费项的消耗情况，以及资源包、金额的整体扣费情况。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账单明细：以天为单位按项目明细展示各资源的使用情况，可细致查看各计费项、各项目明细每天的消耗量。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使用明细：展示各资源的使用记录，以单条使用记录为最小统计颗粒。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各账单页面的用途不同，可根据自身所需灵活使用。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解释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账单所在的周期，以自然月为单位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出账日期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账单生成的日期，各计费项的出账时间见下文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使用日期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计费项使用、产生消耗的日期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产品线大类，区分点播、直播、小班课、研讨会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计费项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各产品线下的计费项，如直播分钟数、连麦分钟数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项目明细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计费项的细分，如果区分国内、海外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交易类型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账单的类型，区分用量结算、金额结算（见上文结算方式），以及退费、补扣调账（账单异常时的修正调整）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区分已支付、待支付两种类型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--&gt;</w:t>
            </w:r>
          </w:p>
        </w:tc>
      </w:tr>
    </w:tbl>
    <w:p>
      <w:pPr>
        <w:spacing w:after="40"/>
      </w:pPr>
    </w:p>
    <w:p>
      <w:pPr>
        <w:pStyle w:val="Heading2"/>
      </w:pPr>
      <w:r>
        <w:t>1、直播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计费项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项目明细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资源结算时间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账单出账时间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直播分钟数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观看时长（国内、海外、无延迟）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今日使用，次日凌晨结算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结算后出账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直播并发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并发包天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今日使用，次日凌晨结算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结算后出账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直播并发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并发包月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使用周期结束后，次日凌晨结算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结算后出账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直播并发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年峰值并发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当月使用，次月 1 日凌晨结算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结算后出账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连麦分钟数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1v1\~6 连麦、1v7\~16 连麦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今日使用，后日凌晨结算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结算后出账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导播时长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今日使用，次日凌晨结算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结算后出账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重制视频时长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今日使用，次日凌晨结算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结算后出账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专享通道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使用周期结束后，次日凌晨结算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结算后出账</w:t>
            </w:r>
          </w:p>
        </w:tc>
      </w:tr>
    </w:tbl>
    <w:p>
      <w:pPr>
        <w:spacing w:after="40"/>
      </w:pPr>
    </w:p>
    <w:p>
      <w:pPr>
        <w:pStyle w:val="Heading2"/>
      </w:pPr>
      <w:r>
        <w:t>2、点播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949"/>
        <w:gridCol w:w="1949"/>
        <w:gridCol w:w="1949"/>
        <w:gridCol w:w="1949"/>
        <w:gridCol w:w="1949"/>
      </w:tblGrid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计费项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项目明细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资源结算时间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账单出账时间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视频播放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流量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实时结算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今日使用，次日凌晨出账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视频存储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存储空间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实时结算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使用周期结束后，次日凌晨出账</w:t>
            </w:r>
          </w:p>
        </w:tc>
        <w:tc>
          <w:tcPr>
            <w:tcW w:type="dxa" w:w="19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--&gt;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*注：若需要开通、变更计费项或计费方式，请联系商务经理，最终计费项、计费单价及计费方式以合同为准。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计费规则说明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