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hasSlots()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utils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hasSlots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hasSlots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slots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name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判断当前是否有特定的具名插槽</w:t>
      </w:r>
    </w:p>
    <w:p>
      <w:pPr>
        <w:pStyle w:val="Heading1"/>
      </w:pPr>
      <w:r>
        <w:t>Parameters</w:t>
      </w:r>
    </w:p>
    <w:p>
      <w:pPr>
        <w:pStyle w:val="Heading2"/>
      </w:pPr>
      <w:r>
        <w:t>slots</w:t>
      </w:r>
    </w:p>
    <w:p>
      <w:r>
        <w:rPr>
          <w:rFonts w:ascii="Menlo" w:hAnsi="Menlo"/>
          <w:color w:val="444444"/>
          <w:sz w:val="20"/>
        </w:rPr>
        <w:t>any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插槽</w:t>
      </w:r>
    </w:p>
    <w:p>
      <w:pPr>
        <w:pStyle w:val="Heading2"/>
      </w:pPr>
      <w:r>
        <w:t>name</w:t>
      </w:r>
    </w:p>
    <w:p>
      <w:r>
        <w:rPr>
          <w:rFonts w:ascii="Menlo" w:hAnsi="Menlo"/>
          <w:color w:val="444444"/>
          <w:sz w:val="20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具名插槽名字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boolean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hasSlots()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