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modules/super-miniprogram/super/super-component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modules/super-miniprogram/super/super-component</w:t>
      </w:r>
    </w:p>
    <w:p>
      <w:pPr>
        <w:pStyle w:val="Heading1"/>
      </w:pPr>
      <w:r>
        <w:t>Type Aliases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\_DefineSuperComponentOptionsOrigin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\_DefineSuperOptionsProperty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DefineSuperComponentOptions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ExtractInjectGlobalProperty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ExtractPropertyOptions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ExtractSuperComponentInstance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PropertyOptions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SuperComponentData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SuperComponentInstance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SuperComponentOptions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modules/super-miniprogram/super/super-component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