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hasOwn()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modules/super-miniprogram/prop-utils/basic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hasOwn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hasOwn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v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boolean</w:t>
      </w:r>
    </w:p>
    <w:p>
      <w:pPr>
        <w:pStyle w:val="Heading1"/>
      </w:pPr>
      <w:r>
        <w:t>Parameters</w:t>
      </w:r>
    </w:p>
    <w:p>
      <w:pPr>
        <w:pStyle w:val="Heading2"/>
      </w:pPr>
      <w:r>
        <w:t>v</w:t>
      </w:r>
    </w:p>
    <w:p>
      <w:r>
        <w:rPr>
          <w:rFonts w:ascii="Menlo" w:hAnsi="Menlo"/>
          <w:color w:val="444444"/>
          <w:sz w:val="20"/>
        </w:rPr>
        <w:t>PropertyKey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boolean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hasOwn()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