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triggerModelValueEvent()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modules/super-miniprogram/global/global-methods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triggerModelValueEvent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triggerModelValueEvent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field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value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void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触发 model-value 事件</w:t>
      </w:r>
    </w:p>
    <w:p>
      <w:pPr>
        <w:pStyle w:val="Heading1"/>
      </w:pPr>
      <w:r>
        <w:t>Parameters</w:t>
      </w:r>
    </w:p>
    <w:p>
      <w:pPr>
        <w:pStyle w:val="Heading2"/>
      </w:pPr>
      <w:r>
        <w:t>field</w:t>
      </w:r>
    </w:p>
    <w:p>
      <w:r>
        <w:rPr>
          <w:rFonts w:ascii="Menlo" w:hAnsi="Menlo"/>
          <w:color w:val="444444"/>
          <w:sz w:val="20"/>
        </w:rPr>
        <w:t>any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字段名</w:t>
      </w:r>
    </w:p>
    <w:p>
      <w:pPr>
        <w:pStyle w:val="Heading2"/>
      </w:pPr>
      <w:r>
        <w:t>value</w:t>
      </w:r>
    </w:p>
    <w:p>
      <w:r>
        <w:rPr>
          <w:rFonts w:ascii="Menlo" w:hAnsi="Menlo"/>
          <w:color w:val="444444"/>
          <w:sz w:val="20"/>
        </w:rPr>
        <w:t>any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绑定值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triggerModelValueEvent()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