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生成登录令牌</w:t>
      </w:r>
    </w:p>
    <w:p>
      <w:pPr>
        <w:pStyle w:val="Heading1"/>
      </w:pPr>
      <w:r>
        <w:t>一、接口描述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生成观看页观众登录 Token（loginToken）</w:t>
      </w:r>
    </w:p>
    <w:p>
      <w:pPr>
        <w:pStyle w:val="Heading1"/>
      </w:pPr>
      <w:r>
        <w:t>二、接口 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https://api.polyv.net/live/v3/channel/watch/get-api-token</w:t>
      </w:r>
    </w:p>
    <w:p>
      <w:pPr>
        <w:pStyle w:val="Heading1"/>
      </w:pPr>
      <w:r>
        <w:t>三、请求方式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1"/>
      </w:pPr>
      <w:r>
        <w:t>四、请求参数描述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 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签名,参考保利威的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公用签名方式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 Param4 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 Param5 参数</w:t>
            </w:r>
          </w:p>
        </w:tc>
      </w:tr>
    </w:tbl>
    <w:p>
      <w:pPr>
        <w:spacing w:after="40"/>
      </w:pPr>
    </w:p>
    <w:p>
      <w:pPr>
        <w:pStyle w:val="Heading1"/>
      </w:pPr>
      <w:r>
        <w:t>五、响应参数描述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 success，失败返回 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响应对象【详见data字段说明】</w:t>
            </w:r>
          </w:p>
        </w:tc>
      </w:tr>
    </w:tbl>
    <w:p>
      <w:pPr>
        <w:spacing w:after="40"/>
      </w:pPr>
    </w:p>
    <w:p>
      <w:pPr>
        <w:pStyle w:val="Heading2"/>
      </w:pPr>
      <w:r>
        <w:t>5.1 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观看页观众Token</w:t>
            </w:r>
          </w:p>
        </w:tc>
      </w:tr>
    </w:tbl>
    <w:p>
      <w:pPr>
        <w:spacing w:after="40"/>
      </w:pPr>
    </w:p>
    <w:p>
      <w:pPr>
        <w:pStyle w:val="Heading1"/>
      </w:pPr>
      <w:r>
        <w:t>六、响应示例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"token": "a049b525e0"</w:t>
        <w:br/>
        <w:tab/>
        <w:t>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生成登录令牌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