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生成登录令牌</w:t>
      </w:r>
    </w:p>
    <w:p>
      <w:pPr>
        <w:pStyle w:val="Heading1"/>
      </w:pPr>
      <w:r>
        <w:t>一、接口描述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生成观看页观众登录 Token（loginToken）</w:t>
      </w:r>
    </w:p>
    <w:p>
      <w:pPr>
        <w:pStyle w:val="Heading1"/>
      </w:pPr>
      <w:r>
        <w:t>二、接口 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https://api.polyv.net/live/v3/channel/watch/get-api-token</w:t>
      </w:r>
    </w:p>
    <w:p>
      <w:pPr>
        <w:pStyle w:val="Heading1"/>
      </w:pPr>
      <w:r>
        <w:t>三、请求方式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1"/>
      </w:pPr>
      <w:r>
        <w:t>四、请求参数描述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 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签名,参考保利威的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公用签名方式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 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 Param4 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 Param5 参数</w:t>
            </w:r>
          </w:p>
        </w:tc>
      </w:tr>
    </w:tbl>
    <w:p>
      <w:pPr>
        <w:spacing w:after="40"/>
      </w:pPr>
    </w:p>
    <w:p>
      <w:pPr>
        <w:pStyle w:val="Heading1"/>
      </w:pPr>
      <w:r>
        <w:t>五、响应参数描述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 success，失败返回 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响应对象【详见data字段说明】</w:t>
            </w:r>
          </w:p>
        </w:tc>
      </w:tr>
    </w:tbl>
    <w:p>
      <w:pPr>
        <w:spacing w:after="40"/>
      </w:pPr>
    </w:p>
    <w:p>
      <w:pPr>
        <w:pStyle w:val="Heading2"/>
      </w:pPr>
      <w:r>
        <w:t>5.1 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观看页观众Token</w:t>
            </w:r>
          </w:p>
        </w:tc>
      </w:tr>
    </w:tbl>
    <w:p>
      <w:pPr>
        <w:spacing w:after="40"/>
      </w:pPr>
    </w:p>
    <w:p>
      <w:pPr>
        <w:pStyle w:val="Heading1"/>
      </w:pPr>
      <w:r>
        <w:t>六、响应示例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"code": 200,</w:t>
        <w:br/>
        <w:t xml:space="preserve"> "status": "success",</w:t>
        <w:br/>
        <w:t xml:space="preserve"> "message": "",</w:t>
        <w:br/>
        <w:t xml:space="preserve"> "data": {</w:t>
        <w:br/>
        <w:t xml:space="preserve">  "token": "a049b525e0"</w:t>
        <w:br/>
        <w:t xml:space="preserve">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生成登录令牌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