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观看条件 - 邀请观看</w:t>
      </w:r>
    </w:p>
    <w:p>
      <w:pPr>
        <w:pStyle w:val="Heading1"/>
      </w:pPr>
      <w:r>
        <w:t>一、使用方式</w:t>
      </w:r>
    </w:p>
    <w:p/>
    <w:p>
      <w:pPr>
        <w:pStyle w:val="Heading2"/>
      </w:pPr>
      <w:r>
        <w:t>1.1 获取邀请观看授权审核状态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getInviteWatchAuthAuditStatus(): InviteWatchAuditStatus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v2.0.0 版本开始支持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InviteWatchAuditStatus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/>
    <w:p>
      <w:pPr>
        <w:pStyle w:val="Heading2"/>
      </w:pPr>
      <w:r>
        <w:t>1.2 是否允许验证邀请观看授权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allowInviteWatchAuth(): boolean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v2.0.0 版本开始支持</w:t>
      </w:r>
    </w:p>
    <w:p/>
    <w:p>
      <w:pPr>
        <w:pStyle w:val="Heading2"/>
      </w:pPr>
      <w:r>
        <w:t>1.3 验证邀请观看授权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verifyInviteWatchAuth(__namedParameters: VerifyInviteWatchAuthParams): Promise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v2.0.0 版本开始支持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__namedParameters：</w:t>
      </w:r>
      <w:r>
        <w:rPr>
          <w:rFonts w:ascii="Menlo" w:hAnsi="Menlo"/>
          <w:color w:val="444444"/>
          <w:sz w:val="20"/>
        </w:rPr>
        <w:t>VerifyInviteWatchAuthParams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saleId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分销员 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/>
    <w:p>
      <w:pPr>
        <w:pStyle w:val="Heading2"/>
      </w:pPr>
      <w:r>
        <w:t>1.4 获取邀请观看授权信息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getInviteWatchAuthInfo(__namedParameters: VerifyInviteWatchAuthParams): Promise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v2.0.0 版本开始支持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__namedParameters：</w:t>
      </w:r>
      <w:r>
        <w:rPr>
          <w:rFonts w:ascii="Menlo" w:hAnsi="Menlo"/>
          <w:color w:val="444444"/>
          <w:sz w:val="20"/>
        </w:rPr>
        <w:t>VerifyInviteWatchAuthParams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saleId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分销员 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邀请观看授权信息，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审核状态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InviteWatchAuditStatus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saleInfo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邀请人/分销员信息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Object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观看条件 - 邀请观看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