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观看条件 - 企业微信授权</w:t>
      </w:r>
    </w:p>
    <w:p>
      <w:pPr>
        <w:pStyle w:val="Heading1"/>
      </w:pPr>
      <w:r>
        <w:t>一、设置信息</w:t>
      </w:r>
    </w:p>
    <w:p/>
    <w:p>
      <w:pPr>
        <w:pStyle w:val="Heading2"/>
      </w:pPr>
      <w:r>
        <w:t>1.1 企业微信授权设置信息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Interface 接口：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AuthSettingItemEnterpriseWeChat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属性名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authType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条件类型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EnterpriseWeChat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enabled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是否启用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null \| YN</w:t>
            </w:r>
          </w:p>
        </w:tc>
      </w:tr>
    </w:tbl>
    <w:p>
      <w:pPr>
        <w:spacing w:after="40"/>
      </w:pP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观看条件 - 企业微信授权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