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观看条件 - 自定义授权</w:t>
      </w:r>
    </w:p>
    <w:p>
      <w:pPr>
        <w:pStyle w:val="Heading1"/>
      </w:pPr>
      <w:r>
        <w:t>一、设置信息</w:t>
      </w:r>
    </w:p>
    <w:p/>
    <w:p>
      <w:pPr>
        <w:pStyle w:val="Heading2"/>
      </w:pPr>
      <w:r>
        <w:t>1.1 自定义授权设置信息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关于自定义授权设置及服务端的处理流程可见帮助中心文档：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自定义授权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Interface 接口：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AuthSettingItemCustom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条件类型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Custom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是否启用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null \| YN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customUri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 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customEntryText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入口文本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null \| string</w:t>
            </w:r>
          </w:p>
        </w:tc>
      </w:tr>
    </w:tbl>
    <w:p>
      <w:pPr>
        <w:spacing w:after="40"/>
      </w:pPr>
    </w:p>
    <w:p>
      <w:pPr>
        <w:pStyle w:val="Heading1"/>
      </w:pPr>
      <w:r>
        <w:t>二、使用方式</w:t>
      </w:r>
    </w:p>
    <w:p/>
    <w:p>
      <w:pPr>
        <w:pStyle w:val="Heading2"/>
      </w:pPr>
      <w:r>
        <w:t>2.1 允许验证自定义授权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从授权平台跳转回观看页后，通过该方法判断当前环境下是否允许进行自定义授权签名验证。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 xml:space="preserve">从 v0.11.0 版本开始，在授权通过，但其他配置是正常的情况下，也允许进行外部授权签名验证。另外通过新增 options 参数，开发者可以设置 </w:t>
      </w:r>
      <w:r>
        <w:rPr>
          <w:rFonts w:ascii="Menlo" w:hAnsi="Menlo"/>
          <w:color w:val="444444"/>
          <w:sz w:val="19"/>
        </w:rPr>
        <w:t>{ ignoreAuthorized:false }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来达到和之前版本一样的效果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allowToVerifyCustomAuth(signParams: CustomAuthSignParams, options?: Object):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signParams：授权签名参数，</w:t>
      </w:r>
      <w:r>
        <w:rPr>
          <w:rFonts w:ascii="Menlo" w:hAnsi="Menlo"/>
          <w:color w:val="444444"/>
          <w:sz w:val="20"/>
        </w:rPr>
        <w:t>CustomAuthSignParams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userid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 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ts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sign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授权签名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options：配置项，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类型，选传，详细类型说明如下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ignoreAuthorized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忽略授权情况，默认 true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是否允许验证自定义授权，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parse } from '@polyv/utils/querystring';</w:t>
        <w:br/>
        <w:t>import { CustomAuthSignParams } from '@polyv/live-watch-sdk';</w:t>
        <w:br/>
        <w:br/>
        <w:t>async function example {</w:t>
        <w:br/>
        <w:t xml:space="preserve">  const queryParams = parse(window.location.search.slice(1));</w:t>
        <w:br/>
        <w:t xml:space="preserve">  const signParams: CustomAuthSignParams = {</w:t>
        <w:br/>
        <w:t xml:space="preserve">    userid: queryParams.userid || '',</w:t>
        <w:br/>
        <w:t xml:space="preserve">    ts: queryParams.ts || '',</w:t>
        <w:br/>
        <w:t xml:space="preserve">    sign: queryParams.sign || '',</w:t>
        <w:br/>
        <w:t xml:space="preserve">  };</w:t>
        <w:br/>
        <w:br/>
        <w:t xml:space="preserve">  const allowVerify = watchCore.auth.allowToVerifyCustomAuth(signParams);</w:t>
        <w:br/>
        <w:t xml:space="preserve">  if (allowVerify) {</w:t>
        <w:br/>
        <w:t xml:space="preserve">    // TODO 验证自定义授权</w:t>
        <w:br/>
        <w:t xml:space="preserve">  }</w:t>
        <w:br/>
        <w:t>}</w:t>
      </w:r>
    </w:p>
    <w:p/>
    <w:p>
      <w:pPr>
        <w:pStyle w:val="Heading2"/>
      </w:pPr>
      <w:r>
        <w:t>2.2 验证自定义授权签名参数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从授权平台跳转回观看页后，通过 </w:t>
      </w:r>
      <w:r>
        <w:rPr>
          <w:rFonts w:ascii="Menlo" w:hAnsi="Menlo"/>
          <w:color w:val="444444"/>
          <w:sz w:val="20"/>
        </w:rPr>
        <w:t>verifyCustomAuth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进行自定义授权参数验证，在调用前请调用 </w:t>
      </w:r>
      <w:r>
        <w:rPr>
          <w:rFonts w:ascii="Menlo" w:hAnsi="Menlo"/>
          <w:color w:val="444444"/>
          <w:sz w:val="20"/>
        </w:rPr>
        <w:t>allowToVerifyCustomAuth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判断签名参数是否符合要求。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verifyCustomAuth(signParams: CustomAuthSignParams, queryParams: object):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signParams：授权参数，</w:t>
      </w:r>
      <w:r>
        <w:rPr>
          <w:rFonts w:ascii="Menlo" w:hAnsi="Menlo"/>
          <w:color w:val="444444"/>
          <w:sz w:val="20"/>
        </w:rPr>
        <w:t>CustomAuthSignParams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userid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 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ts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sign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授权签名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queryParams：链接参数，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授权结果，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parse } from '@polyv/utils/querystring';</w:t>
        <w:br/>
        <w:t>import { CustomAuthSignParams } from '@polyv/live-watch-sdk';</w:t>
        <w:br/>
        <w:br/>
        <w:t>async function example {</w:t>
        <w:br/>
        <w:t xml:space="preserve">  const queryParams = parse(window.location.search.slice(1));</w:t>
        <w:br/>
        <w:t xml:space="preserve">  const signParams: CustomAuthSignParams = {</w:t>
        <w:br/>
        <w:t xml:space="preserve">    userid: queryParams.userid || '',</w:t>
        <w:br/>
        <w:t xml:space="preserve">    ts: queryParams.ts || '',</w:t>
        <w:br/>
        <w:t xml:space="preserve">    sign: queryParams.sign || '',</w:t>
        <w:br/>
        <w:t xml:space="preserve">  };</w:t>
        <w:br/>
        <w:br/>
        <w:t xml:space="preserve">  const allowVerify = watchCore.auth.allowToVerifyCustomAuth(signParams);</w:t>
        <w:br/>
        <w:t xml:space="preserve">  if (!allowVerify) {</w:t>
        <w:br/>
        <w:t xml:space="preserve">    return;</w:t>
        <w:br/>
        <w:t xml:space="preserve">  }</w:t>
        <w:br/>
        <w:br/>
        <w:t xml:space="preserve">  const result = await watchCore.auth.verifyCustomAuth(signParams, queryParams);</w:t>
        <w:br/>
        <w:t xml:space="preserve">  if (result.success) {</w:t>
        <w:br/>
        <w:t xml:space="preserve">    handleAuthVerifySuccess(result);</w:t>
        <w:br/>
        <w:t xml:space="preserve">  } else {</w:t>
        <w:br/>
        <w:t xml:space="preserve">    handleAuthVerifyFail(result);</w:t>
        <w:br/>
        <w:t xml:space="preserve">  }</w:t>
        <w:br/>
        <w:t>}</w:t>
      </w:r>
    </w:p>
    <w:p/>
    <w:p>
      <w:pPr>
        <w:pStyle w:val="Heading2"/>
      </w:pPr>
      <w:r>
        <w:t>2.3 允许自动重定向到自定义授权地址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授权模块提供方法用于在观众进入观看页，直接重定向到自定义授权地址，无需经过引导页，内部判断条件如下：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观众未授权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管理后台只设置了自定义授权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管理后台关闭引导页开关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allowAutoRedirectCustomAuthUrl():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是否自动重定向，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allowAutoRedirect = await watchCore.auth.allowAutoRedirectCustomAuthUrl();</w:t>
        <w:br/>
        <w:t>// 当前不需要显示引导页，直接跳到自定义授权地址</w:t>
        <w:br/>
        <w:t>if (allowAutoRedirect) {</w:t>
        <w:br/>
        <w:t xml:space="preserve">  watchCore.auth.redirectCustomAuthUrl();</w:t>
        <w:br/>
        <w:t>}</w:t>
      </w:r>
    </w:p>
    <w:p/>
    <w:p>
      <w:pPr>
        <w:pStyle w:val="Heading2"/>
      </w:pPr>
      <w:r>
        <w:t>2.4 获取自定义授权的地址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当用户点击授权按钮时，通过该方法获取自定义授权链接并进行跳转。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getCustomAuthUrl():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自定义授权跳转地址信息，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customAuthUrl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自定义授权跳转地址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document.querySelector('button').addEvenListener('click', async () =&gt; {</w:t>
        <w:br/>
        <w:t xml:space="preserve">  const data = await watchCore.auth.getCustomAuthUrl();</w:t>
        <w:br/>
        <w:t xml:space="preserve">  window.location.href = data.customAuthUrl;</w:t>
        <w:br/>
        <w:t>});</w:t>
      </w:r>
    </w:p>
    <w:p/>
    <w:p>
      <w:pPr>
        <w:pStyle w:val="Heading2"/>
      </w:pPr>
      <w:r>
        <w:t>2.5 重定向到自定义授权地址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如果不调用 </w:t>
      </w:r>
      <w:r>
        <w:rPr>
          <w:rFonts w:ascii="Menlo" w:hAnsi="Menlo"/>
          <w:color w:val="444444"/>
          <w:sz w:val="20"/>
        </w:rPr>
        <w:t>getCustomAuthUrl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获取授权地址，开发者可以调用 </w:t>
      </w:r>
      <w:r>
        <w:rPr>
          <w:rFonts w:ascii="Menlo" w:hAnsi="Menlo"/>
          <w:color w:val="444444"/>
          <w:sz w:val="20"/>
        </w:rPr>
        <w:t>redirectCustomAuthUrl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进行跳转，通过方法返回的结果判断页面是否被跳转。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redirectCustomAuthUrl():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是否重定向，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result = await watchCore.auth.redirectCustomAuthUrl();</w:t>
        <w:br/>
        <w:t>if (result.success) {</w:t>
        <w:br/>
        <w:t xml:space="preserve">  console.log('页面已重定向');</w:t>
        <w:br/>
        <w:t>} else {</w:t>
        <w:br/>
        <w:t xml:space="preserve">  console.log('重定向失败，原因：', result.failReason);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观看条件 - 自定义授权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