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概述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本文档主要提供观看页 SDK 提供的核心方法 Api 概览以及总体设计。</w:t>
      </w:r>
    </w:p>
    <w:p/>
    <w:p>
      <w:pPr>
        <w:pStyle w:val="Heading1"/>
      </w:pPr>
      <w:r>
        <w:t>一、Api 方法概览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4873"/>
        <w:gridCol w:w="4873"/>
      </w:tblGrid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Api 方法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getExtBusinessInfo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获取额外的业务信息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getAccountInfo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获取账户信息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setXAuthToken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设置授权 token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freeze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冻结模块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unFreeze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解冻结模块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setup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安装观看页核心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disconnect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断开聊天室连接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connect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连接聊天室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updateAppConfig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更新核心配置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isPlaybackWatchByVid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是否为回放观看页模式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getPlaybackWatchBasicInfo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获取通过 vid 观看回放的基础信息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setWeixinSdk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设置微信 SDK 获取函数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getWeixinSdk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获取设置到 core 的微信 SDK 获取函数</w:t>
            </w:r>
          </w:p>
        </w:tc>
      </w:tr>
    </w:tbl>
    <w:p>
      <w:pPr>
        <w:spacing w:after="40"/>
      </w:pPr>
    </w:p>
    <w:p/>
    <w:p>
      <w:pPr>
        <w:pStyle w:val="Heading1"/>
      </w:pPr>
      <w:r>
        <w:t>二、Event 事件概览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4873"/>
        <w:gridCol w:w="4873"/>
      </w:tblGrid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Event 事件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PolyvWatchCoreEvents.WatchCoreSetuped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核心安装完成钩子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PolyvWatchCoreEvents.WatchCoreConnected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聊天室连接完成钩子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PolyvWatchCoreEvents.WatchCoreDisconnected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聊天室断联完成钩子</w:t>
            </w:r>
          </w:p>
        </w:tc>
      </w:tr>
    </w:tbl>
    <w:p>
      <w:pPr>
        <w:spacing w:after="40"/>
      </w:pPr>
    </w:p>
    <w:p>
      <w:pPr>
        <w:pStyle w:val="Heading1"/>
      </w:pPr>
      <w:r>
        <w:t>三、总体设计</w:t>
      </w:r>
    </w:p>
    <w:p>
      <w:r>
        <w:rPr>
          <w:rFonts w:ascii="Source Han Sans SC" w:hAnsi="Source Han Sans SC" w:eastAsia="Source Han Sans SC" w:cs="Source Han Sans SC" w:hint="eastAsia"/>
          <w:color w:val="5B7DB1"/>
          <w:sz w:val="18"/>
        </w:rPr>
        <w:t>图片：/live/js/new_sdk/live_watch_sdk/assets/total-design.png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概述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