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6-互动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1.互动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2.互动页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3.回调</w:t>
      </w:r>
    </w:p>
    <w:p>
      <w:pPr>
        <w:pStyle w:val="Heading2"/>
      </w:pPr>
      <w:r>
        <w:t>1.互动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互动管理器的对外核心类为</w:t>
      </w:r>
      <w:r>
        <w:rPr>
          <w:rFonts w:ascii="Menlo" w:hAnsi="Menlo"/>
          <w:color w:val="444444"/>
          <w:sz w:val="20"/>
        </w:rPr>
        <w:t>PLVInteractManager</w:t>
      </w:r>
      <w:r>
        <w:rPr>
          <w:rFonts w:ascii="Source Han Sans SC" w:hAnsi="Source Han Sans SC" w:eastAsia="Source Han Sans SC" w:cs="Source Han Sans SC" w:hint="eastAsia"/>
          <w:sz w:val="21"/>
        </w:rPr>
        <w:t>，可以通过 SDK 对象的</w:t>
      </w:r>
      <w:r>
        <w:rPr>
          <w:rFonts w:ascii="Menlo" w:hAnsi="Menlo"/>
          <w:color w:val="444444"/>
          <w:sz w:val="20"/>
        </w:rPr>
        <w:t>interactManager</w:t>
      </w:r>
      <w:r>
        <w:rPr>
          <w:rFonts w:ascii="Source Han Sans SC" w:hAnsi="Source Han Sans SC" w:eastAsia="Source Han Sans SC" w:cs="Source Han Sans SC" w:hint="eastAsia"/>
          <w:sz w:val="21"/>
        </w:rPr>
        <w:t>属性对其进行访问。</w:t>
      </w:r>
    </w:p>
    <w:p>
      <w:pPr>
        <w:pStyle w:val="Heading2"/>
      </w:pPr>
      <w:r>
        <w:t>2.互动页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互动页是一个 Web 组件，其对外核心类为</w:t>
      </w:r>
      <w:r>
        <w:rPr>
          <w:rFonts w:ascii="Menlo" w:hAnsi="Menlo"/>
          <w:color w:val="444444"/>
          <w:sz w:val="20"/>
        </w:rPr>
        <w:t>PLVInteractWeb</w:t>
      </w:r>
      <w:r>
        <w:rPr>
          <w:rFonts w:ascii="Source Han Sans SC" w:hAnsi="Source Han Sans SC" w:eastAsia="Source Han Sans SC" w:cs="Source Han Sans SC" w:hint="eastAsia"/>
          <w:sz w:val="21"/>
        </w:rPr>
        <w:t>，只需要把该组件嵌入到布局中即可完成互动页的集成。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PLVInteractWeb({</w:t>
        <w:br/>
        <w:t xml:space="preserve">  interactManager: this.interactManager, // 互动管理器</w:t>
        <w:br/>
        <w:t xml:space="preserve">  interactCallback: this.interactCallback, // 互动回调</w:t>
        <w:br/>
        <w:t xml:space="preserve">  controller: this.controller, // web组件控制器</w:t>
        <w:br/>
        <w:t xml:space="preserve">  redpackManager: this.redpackManager // 红包管理器</w:t>
        <w:br/>
        <w:t>})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详细使用代码可以参考 demo 项目的</w:t>
      </w:r>
      <w:r>
        <w:rPr>
          <w:rFonts w:ascii="Menlo" w:hAnsi="Menlo"/>
          <w:color w:val="444444"/>
          <w:sz w:val="20"/>
        </w:rPr>
        <w:t>PLVLIInteractWebView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p>
      <w:pPr>
        <w:pStyle w:val="Heading2"/>
      </w:pPr>
      <w:r>
        <w:t>3.回调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互动的业务事件消息通过</w:t>
      </w:r>
      <w:r>
        <w:rPr>
          <w:rFonts w:ascii="Menlo" w:hAnsi="Menlo"/>
          <w:color w:val="444444"/>
          <w:sz w:val="20"/>
        </w:rPr>
        <w:t>interactCallback</w:t>
      </w:r>
      <w:r>
        <w:rPr>
          <w:rFonts w:ascii="Source Han Sans SC" w:hAnsi="Source Han Sans SC" w:eastAsia="Source Han Sans SC" w:cs="Source Han Sans SC" w:hint="eastAsia"/>
          <w:sz w:val="21"/>
        </w:rPr>
        <w:t>注册进行监听，包括：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processWebViewVisibility：web组件可见性回调注册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processOpenLinkEvent：互动内部打开链接回调注册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processClickProductEvent：点击商品回调注册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以监听 web组件可见性消息为例，可以通过以下方式进行监听：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interactCallback.processWebViewVisibility = (show) =&gt; {</w:t>
        <w:br/>
        <w:t xml:space="preserve">  // 处理逻辑</w:t>
        <w:br/>
        <w:t xml:space="preserve">  this.viewController.isShow = show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详细使用代码可以参考 demo 项目的</w:t>
      </w:r>
      <w:r>
        <w:rPr>
          <w:rFonts w:ascii="Menlo" w:hAnsi="Menlo"/>
          <w:color w:val="444444"/>
          <w:sz w:val="20"/>
        </w:rPr>
        <w:t>PLVLIInteractWebView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6-互动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